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867D3" w14:textId="2AEF54C5" w:rsidR="0043595F" w:rsidRPr="00257ABC" w:rsidRDefault="00000000">
      <w:pPr>
        <w:spacing w:after="240"/>
        <w:rPr>
          <w:rFonts w:ascii="Times New Roman" w:hAnsi="Times New Roman" w:cs="Times New Roman"/>
          <w:szCs w:val="21"/>
        </w:rPr>
      </w:pPr>
      <w:r w:rsidRPr="00257ABC">
        <w:rPr>
          <w:rFonts w:ascii="Times New Roman" w:hAnsi="Times New Roman" w:cs="Times New Roman"/>
          <w:szCs w:val="21"/>
        </w:rPr>
        <w:t>Supplementary Table 1:</w:t>
      </w:r>
      <w:r w:rsidR="00134D6A" w:rsidRPr="00134D6A">
        <w:rPr>
          <w:rFonts w:ascii="Times New Roman" w:hAnsi="Times New Roman" w:cs="Times New Roman" w:hint="eastAsia"/>
          <w:szCs w:val="21"/>
        </w:rPr>
        <w:t xml:space="preserve"> Collinearity Analysis of Candidate and Selected Variables</w:t>
      </w:r>
      <w:r w:rsidR="00ED343A">
        <w:rPr>
          <w:rFonts w:ascii="Times New Roman" w:hAnsi="Times New Roman" w:cs="Times New Roman" w:hint="eastAsia"/>
          <w:szCs w:val="21"/>
        </w:rPr>
        <w:t>.</w:t>
      </w:r>
    </w:p>
    <w:tbl>
      <w:tblPr>
        <w:tblStyle w:val="ab"/>
        <w:tblW w:w="95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5"/>
        <w:gridCol w:w="2835"/>
        <w:gridCol w:w="2410"/>
        <w:gridCol w:w="2410"/>
      </w:tblGrid>
      <w:tr w:rsidR="00134D6A" w:rsidRPr="00257ABC" w14:paraId="6F538BB0" w14:textId="55733DB3" w:rsidTr="00134D6A">
        <w:trPr>
          <w:trHeight w:val="394"/>
          <w:jc w:val="center"/>
        </w:trPr>
        <w:tc>
          <w:tcPr>
            <w:tcW w:w="1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795EF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Variable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FA800" w14:textId="4D93D53E" w:rsidR="00134D6A" w:rsidRPr="00134D6A" w:rsidRDefault="00134D6A" w:rsidP="00134D6A">
            <w:pPr>
              <w:jc w:val="center"/>
              <w:rPr>
                <w:rFonts w:ascii="Times New Roman" w:hAnsi="Times New Roman" w:cs="Times New Roman" w:hint="eastAsia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VIF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(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>All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>candidate variables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CDEFF" w14:textId="73D9E7C2" w:rsidR="00134D6A" w:rsidRPr="00134D6A" w:rsidRDefault="00134D6A" w:rsidP="00134D6A">
            <w:pPr>
              <w:jc w:val="center"/>
              <w:rPr>
                <w:rFonts w:ascii="Times New Roman" w:hAnsi="Times New Roman" w:cs="Times New Roman" w:hint="eastAsia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>VIF (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>Selected features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2EDC5" w14:textId="0A42C420" w:rsidR="00134D6A" w:rsidRPr="00134D6A" w:rsidRDefault="00134D6A" w:rsidP="00134D6A">
            <w:pPr>
              <w:jc w:val="center"/>
              <w:rPr>
                <w:rFonts w:ascii="Times New Roman" w:hAnsi="Times New Roman" w:cs="Times New Roman" w:hint="eastAsia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>Inclusion in final model</w:t>
            </w:r>
          </w:p>
        </w:tc>
      </w:tr>
      <w:tr w:rsidR="00134D6A" w:rsidRPr="00257ABC" w14:paraId="53E0485D" w14:textId="0E386E12" w:rsidTr="00134D6A">
        <w:trPr>
          <w:trHeight w:val="394"/>
          <w:jc w:val="center"/>
        </w:trPr>
        <w:tc>
          <w:tcPr>
            <w:tcW w:w="1865" w:type="dxa"/>
            <w:tcBorders>
              <w:top w:val="single" w:sz="4" w:space="0" w:color="auto"/>
            </w:tcBorders>
            <w:vAlign w:val="center"/>
          </w:tcPr>
          <w:p w14:paraId="7322E1D6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Sex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1C3EB52C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1.402935755256102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CB91827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25E3514D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3657EBA7" w14:textId="1CB2C99F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5E44FA77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Age</w:t>
            </w:r>
          </w:p>
        </w:tc>
        <w:tc>
          <w:tcPr>
            <w:tcW w:w="2835" w:type="dxa"/>
            <w:vAlign w:val="center"/>
          </w:tcPr>
          <w:p w14:paraId="1749898A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1.235897805115142</w:t>
            </w:r>
          </w:p>
        </w:tc>
        <w:tc>
          <w:tcPr>
            <w:tcW w:w="2410" w:type="dxa"/>
            <w:vAlign w:val="center"/>
          </w:tcPr>
          <w:p w14:paraId="7B2E3298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11ED99A7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6BFAB4EF" w14:textId="632C5AAE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65F83803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Hypertension</w:t>
            </w:r>
          </w:p>
        </w:tc>
        <w:tc>
          <w:tcPr>
            <w:tcW w:w="2835" w:type="dxa"/>
            <w:vAlign w:val="center"/>
          </w:tcPr>
          <w:p w14:paraId="7E89BCD4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1.159750839349026</w:t>
            </w:r>
          </w:p>
        </w:tc>
        <w:tc>
          <w:tcPr>
            <w:tcW w:w="2410" w:type="dxa"/>
            <w:vAlign w:val="center"/>
          </w:tcPr>
          <w:p w14:paraId="051E06E2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379FBC33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1A67CC22" w14:textId="0603B517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0BFC34CE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Diabets</w:t>
            </w:r>
          </w:p>
        </w:tc>
        <w:tc>
          <w:tcPr>
            <w:tcW w:w="2835" w:type="dxa"/>
            <w:vAlign w:val="center"/>
          </w:tcPr>
          <w:p w14:paraId="65827F9A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1.11565893499491</w:t>
            </w:r>
          </w:p>
        </w:tc>
        <w:tc>
          <w:tcPr>
            <w:tcW w:w="2410" w:type="dxa"/>
            <w:vAlign w:val="center"/>
          </w:tcPr>
          <w:p w14:paraId="5A661CB2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746EE8C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6B4EA935" w14:textId="573A5DBB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1B0EE44F" w14:textId="4A92EFEB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GCS</w:t>
            </w:r>
          </w:p>
        </w:tc>
        <w:tc>
          <w:tcPr>
            <w:tcW w:w="2835" w:type="dxa"/>
            <w:vAlign w:val="center"/>
          </w:tcPr>
          <w:p w14:paraId="255967C5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5.104540209895452</w:t>
            </w:r>
          </w:p>
        </w:tc>
        <w:tc>
          <w:tcPr>
            <w:tcW w:w="2410" w:type="dxa"/>
            <w:vAlign w:val="center"/>
          </w:tcPr>
          <w:p w14:paraId="71EEA577" w14:textId="271D7A5C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4.088641300493407</w:t>
            </w:r>
          </w:p>
        </w:tc>
        <w:tc>
          <w:tcPr>
            <w:tcW w:w="2410" w:type="dxa"/>
            <w:vAlign w:val="center"/>
          </w:tcPr>
          <w:p w14:paraId="752AA5D9" w14:textId="1A14D311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0A1C945C" w14:textId="00296AA6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750FEA3C" w14:textId="61B4FBFE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Modified</w:t>
            </w:r>
            <w:r w:rsidRPr="00134D6A">
              <w:rPr>
                <w:rFonts w:ascii="Times New Roman" w:hAnsi="Times New Roman" w:cs="Times New Roman" w:hint="eastAsia"/>
                <w:b/>
                <w:bCs/>
                <w:szCs w:val="21"/>
              </w:rPr>
              <w:t xml:space="preserve"> </w:t>
            </w: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fisher</w:t>
            </w:r>
          </w:p>
        </w:tc>
        <w:tc>
          <w:tcPr>
            <w:tcW w:w="2835" w:type="dxa"/>
            <w:vAlign w:val="center"/>
          </w:tcPr>
          <w:p w14:paraId="7E9A088A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1.500976373462231</w:t>
            </w:r>
          </w:p>
        </w:tc>
        <w:tc>
          <w:tcPr>
            <w:tcW w:w="2410" w:type="dxa"/>
            <w:vAlign w:val="center"/>
          </w:tcPr>
          <w:p w14:paraId="76468300" w14:textId="71931BE1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1.252243155811892</w:t>
            </w:r>
          </w:p>
        </w:tc>
        <w:tc>
          <w:tcPr>
            <w:tcW w:w="2410" w:type="dxa"/>
            <w:vAlign w:val="center"/>
          </w:tcPr>
          <w:p w14:paraId="4FED1CAC" w14:textId="0C06B248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7C163A"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4A6E0455" w14:textId="5671DF6E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05743C8E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Wfns</w:t>
            </w:r>
          </w:p>
        </w:tc>
        <w:tc>
          <w:tcPr>
            <w:tcW w:w="2835" w:type="dxa"/>
            <w:vAlign w:val="center"/>
          </w:tcPr>
          <w:p w14:paraId="5743D0BA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4.884543232090635</w:t>
            </w:r>
          </w:p>
        </w:tc>
        <w:tc>
          <w:tcPr>
            <w:tcW w:w="2410" w:type="dxa"/>
            <w:vAlign w:val="center"/>
          </w:tcPr>
          <w:p w14:paraId="5FAB51CD" w14:textId="2FF9A896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3.739443038179911</w:t>
            </w:r>
          </w:p>
        </w:tc>
        <w:tc>
          <w:tcPr>
            <w:tcW w:w="2410" w:type="dxa"/>
            <w:vAlign w:val="center"/>
          </w:tcPr>
          <w:p w14:paraId="69956B3B" w14:textId="77F236C4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7C163A"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73F34CBB" w14:textId="243FA255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79A90911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Hunthess</w:t>
            </w:r>
          </w:p>
        </w:tc>
        <w:tc>
          <w:tcPr>
            <w:tcW w:w="2835" w:type="dxa"/>
            <w:vAlign w:val="center"/>
          </w:tcPr>
          <w:p w14:paraId="64CDC95C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2.220408744292216</w:t>
            </w:r>
          </w:p>
        </w:tc>
        <w:tc>
          <w:tcPr>
            <w:tcW w:w="2410" w:type="dxa"/>
            <w:vAlign w:val="center"/>
          </w:tcPr>
          <w:p w14:paraId="45B2B5BF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38435FEF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4E0A6415" w14:textId="0BC4317D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57D394CC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Ddimer</w:t>
            </w:r>
          </w:p>
        </w:tc>
        <w:tc>
          <w:tcPr>
            <w:tcW w:w="2835" w:type="dxa"/>
            <w:vAlign w:val="center"/>
          </w:tcPr>
          <w:p w14:paraId="6B00417B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1.208334765614061</w:t>
            </w:r>
          </w:p>
        </w:tc>
        <w:tc>
          <w:tcPr>
            <w:tcW w:w="2410" w:type="dxa"/>
            <w:vAlign w:val="center"/>
          </w:tcPr>
          <w:p w14:paraId="03DCF0B1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00AB3DD7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5406AAFD" w14:textId="447001C6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7FAE52CA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Surgical method</w:t>
            </w:r>
          </w:p>
        </w:tc>
        <w:tc>
          <w:tcPr>
            <w:tcW w:w="2835" w:type="dxa"/>
            <w:vAlign w:val="center"/>
          </w:tcPr>
          <w:p w14:paraId="5DAB156E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1.183484824130964</w:t>
            </w:r>
          </w:p>
        </w:tc>
        <w:tc>
          <w:tcPr>
            <w:tcW w:w="2410" w:type="dxa"/>
            <w:vAlign w:val="center"/>
          </w:tcPr>
          <w:p w14:paraId="0761F528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1800EA44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37D83CD9" w14:textId="7627EFC4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1EDA933D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Albumin</w:t>
            </w:r>
          </w:p>
        </w:tc>
        <w:tc>
          <w:tcPr>
            <w:tcW w:w="2835" w:type="dxa"/>
            <w:vAlign w:val="center"/>
          </w:tcPr>
          <w:p w14:paraId="424F5125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2.06267720786592</w:t>
            </w:r>
          </w:p>
        </w:tc>
        <w:tc>
          <w:tcPr>
            <w:tcW w:w="2410" w:type="dxa"/>
            <w:vAlign w:val="center"/>
          </w:tcPr>
          <w:p w14:paraId="77E8C4F1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52633D3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3BE1FAB5" w14:textId="559F2F25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382EBC22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Fibrinogen</w:t>
            </w:r>
          </w:p>
        </w:tc>
        <w:tc>
          <w:tcPr>
            <w:tcW w:w="2835" w:type="dxa"/>
            <w:vAlign w:val="center"/>
          </w:tcPr>
          <w:p w14:paraId="73F4296F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1.2001024263612</w:t>
            </w:r>
          </w:p>
        </w:tc>
        <w:tc>
          <w:tcPr>
            <w:tcW w:w="2410" w:type="dxa"/>
            <w:vAlign w:val="center"/>
          </w:tcPr>
          <w:p w14:paraId="78E6734B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6E08445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292327D2" w14:textId="7E3F1F22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675BD256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Aneurysm location</w:t>
            </w:r>
          </w:p>
        </w:tc>
        <w:tc>
          <w:tcPr>
            <w:tcW w:w="2835" w:type="dxa"/>
            <w:vAlign w:val="center"/>
          </w:tcPr>
          <w:p w14:paraId="48A10C40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1.151824718400607</w:t>
            </w:r>
          </w:p>
        </w:tc>
        <w:tc>
          <w:tcPr>
            <w:tcW w:w="2410" w:type="dxa"/>
            <w:vAlign w:val="center"/>
          </w:tcPr>
          <w:p w14:paraId="655FD960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569A53E9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2FCE93F5" w14:textId="7991F585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44BB6500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PNI</w:t>
            </w:r>
          </w:p>
        </w:tc>
        <w:tc>
          <w:tcPr>
            <w:tcW w:w="2835" w:type="dxa"/>
            <w:vAlign w:val="center"/>
          </w:tcPr>
          <w:p w14:paraId="641E964D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1.934654650638077</w:t>
            </w:r>
          </w:p>
        </w:tc>
        <w:tc>
          <w:tcPr>
            <w:tcW w:w="2410" w:type="dxa"/>
            <w:vAlign w:val="center"/>
          </w:tcPr>
          <w:p w14:paraId="0478F7FF" w14:textId="09A0AADE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1.176344001395496</w:t>
            </w:r>
          </w:p>
        </w:tc>
        <w:tc>
          <w:tcPr>
            <w:tcW w:w="2410" w:type="dxa"/>
            <w:vAlign w:val="center"/>
          </w:tcPr>
          <w:p w14:paraId="6F84F463" w14:textId="6E2B8495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664D67"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48B71EE0" w14:textId="5AA06A95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230ED8D3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NAR</w:t>
            </w:r>
          </w:p>
        </w:tc>
        <w:tc>
          <w:tcPr>
            <w:tcW w:w="2835" w:type="dxa"/>
            <w:vAlign w:val="center"/>
          </w:tcPr>
          <w:p w14:paraId="0BA0E0AF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1.801544778408242</w:t>
            </w:r>
          </w:p>
        </w:tc>
        <w:tc>
          <w:tcPr>
            <w:tcW w:w="2410" w:type="dxa"/>
            <w:vAlign w:val="center"/>
          </w:tcPr>
          <w:p w14:paraId="35D85EBC" w14:textId="73C7AF8E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1.265140509039768</w:t>
            </w:r>
          </w:p>
        </w:tc>
        <w:tc>
          <w:tcPr>
            <w:tcW w:w="2410" w:type="dxa"/>
            <w:vAlign w:val="center"/>
          </w:tcPr>
          <w:p w14:paraId="5725B044" w14:textId="168A494F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664D67"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794C83F5" w14:textId="5BE80E3F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34284347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PAR</w:t>
            </w:r>
          </w:p>
        </w:tc>
        <w:tc>
          <w:tcPr>
            <w:tcW w:w="2835" w:type="dxa"/>
            <w:vAlign w:val="center"/>
          </w:tcPr>
          <w:p w14:paraId="07A9D4B6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3.13516467094174</w:t>
            </w:r>
          </w:p>
        </w:tc>
        <w:tc>
          <w:tcPr>
            <w:tcW w:w="2410" w:type="dxa"/>
            <w:vAlign w:val="center"/>
          </w:tcPr>
          <w:p w14:paraId="1951FC66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70777627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61B1961C" w14:textId="31FCAC42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076F42F9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NLPR</w:t>
            </w:r>
          </w:p>
        </w:tc>
        <w:tc>
          <w:tcPr>
            <w:tcW w:w="2835" w:type="dxa"/>
            <w:vAlign w:val="center"/>
          </w:tcPr>
          <w:p w14:paraId="5268EC66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3.809884026911829</w:t>
            </w:r>
          </w:p>
        </w:tc>
        <w:tc>
          <w:tcPr>
            <w:tcW w:w="2410" w:type="dxa"/>
            <w:vAlign w:val="center"/>
          </w:tcPr>
          <w:p w14:paraId="1E41E9C3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45691DA4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669C4050" w14:textId="6CA30939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74D899D1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PLR</w:t>
            </w:r>
          </w:p>
        </w:tc>
        <w:tc>
          <w:tcPr>
            <w:tcW w:w="2835" w:type="dxa"/>
            <w:vAlign w:val="center"/>
          </w:tcPr>
          <w:p w14:paraId="3491EB7A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2.952536802025027</w:t>
            </w:r>
          </w:p>
        </w:tc>
        <w:tc>
          <w:tcPr>
            <w:tcW w:w="2410" w:type="dxa"/>
            <w:vAlign w:val="center"/>
          </w:tcPr>
          <w:p w14:paraId="5D03673C" w14:textId="1DF81706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1.534001969453208</w:t>
            </w:r>
          </w:p>
        </w:tc>
        <w:tc>
          <w:tcPr>
            <w:tcW w:w="2410" w:type="dxa"/>
            <w:vAlign w:val="center"/>
          </w:tcPr>
          <w:p w14:paraId="45A5B815" w14:textId="522B14DE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651C3655" w14:textId="0193D885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135C1CE6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MLR</w:t>
            </w:r>
          </w:p>
        </w:tc>
        <w:tc>
          <w:tcPr>
            <w:tcW w:w="2835" w:type="dxa"/>
            <w:vAlign w:val="center"/>
          </w:tcPr>
          <w:p w14:paraId="4FCD633E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3.548729131799127</w:t>
            </w:r>
          </w:p>
        </w:tc>
        <w:tc>
          <w:tcPr>
            <w:tcW w:w="2410" w:type="dxa"/>
            <w:vAlign w:val="center"/>
          </w:tcPr>
          <w:p w14:paraId="15652A80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1FE62675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42F56134" w14:textId="5B5E1C90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065D3FD0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CLR</w:t>
            </w:r>
          </w:p>
        </w:tc>
        <w:tc>
          <w:tcPr>
            <w:tcW w:w="2835" w:type="dxa"/>
            <w:vAlign w:val="center"/>
          </w:tcPr>
          <w:p w14:paraId="4265B560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1.452384162981394</w:t>
            </w:r>
          </w:p>
        </w:tc>
        <w:tc>
          <w:tcPr>
            <w:tcW w:w="2410" w:type="dxa"/>
            <w:vAlign w:val="center"/>
          </w:tcPr>
          <w:p w14:paraId="52EC0129" w14:textId="6615810B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1.257944272469845</w:t>
            </w:r>
          </w:p>
        </w:tc>
        <w:tc>
          <w:tcPr>
            <w:tcW w:w="2410" w:type="dxa"/>
            <w:vAlign w:val="center"/>
          </w:tcPr>
          <w:p w14:paraId="447A9F49" w14:textId="3A418560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2B6C63"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5BEA411E" w14:textId="2F3D82F2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5A9EE387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SII</w:t>
            </w:r>
          </w:p>
        </w:tc>
        <w:tc>
          <w:tcPr>
            <w:tcW w:w="2835" w:type="dxa"/>
            <w:vAlign w:val="center"/>
          </w:tcPr>
          <w:p w14:paraId="1C8B9181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2.45440119234438</w:t>
            </w:r>
          </w:p>
        </w:tc>
        <w:tc>
          <w:tcPr>
            <w:tcW w:w="2410" w:type="dxa"/>
            <w:vAlign w:val="center"/>
          </w:tcPr>
          <w:p w14:paraId="3159C513" w14:textId="62047FD3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1.971383005914274</w:t>
            </w:r>
          </w:p>
        </w:tc>
        <w:tc>
          <w:tcPr>
            <w:tcW w:w="2410" w:type="dxa"/>
            <w:vAlign w:val="center"/>
          </w:tcPr>
          <w:p w14:paraId="65D54611" w14:textId="7EA68864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 w:rsidRPr="002B6C63"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2A999CE7" w14:textId="41EDF74E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44D10639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AISI</w:t>
            </w:r>
          </w:p>
        </w:tc>
        <w:tc>
          <w:tcPr>
            <w:tcW w:w="2835" w:type="dxa"/>
            <w:vAlign w:val="center"/>
          </w:tcPr>
          <w:p w14:paraId="21E888E2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3.928471073837534</w:t>
            </w:r>
          </w:p>
        </w:tc>
        <w:tc>
          <w:tcPr>
            <w:tcW w:w="2410" w:type="dxa"/>
            <w:vAlign w:val="center"/>
          </w:tcPr>
          <w:p w14:paraId="70D80736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61355236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1FE243FF" w14:textId="559FCA84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62250E2D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SIRI</w:t>
            </w:r>
          </w:p>
        </w:tc>
        <w:tc>
          <w:tcPr>
            <w:tcW w:w="2835" w:type="dxa"/>
            <w:vAlign w:val="center"/>
          </w:tcPr>
          <w:p w14:paraId="429DC065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5.591380815639903</w:t>
            </w:r>
          </w:p>
        </w:tc>
        <w:tc>
          <w:tcPr>
            <w:tcW w:w="2410" w:type="dxa"/>
            <w:vAlign w:val="center"/>
          </w:tcPr>
          <w:p w14:paraId="38EAB9AF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6E290F2E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2E3BF9A4" w14:textId="383840C3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5E627077" w14:textId="77777777" w:rsidR="00134D6A" w:rsidRPr="00134D6A" w:rsidRDefault="00134D6A" w:rsidP="00134D6A">
            <w:pPr>
              <w:jc w:val="left"/>
              <w:rPr>
                <w:rFonts w:ascii="Times New Roman" w:hAnsi="Times New Roman" w:cs="Times New Roman"/>
                <w:b/>
                <w:bCs/>
                <w:szCs w:val="21"/>
              </w:rPr>
            </w:pPr>
            <w:r w:rsidRPr="00134D6A">
              <w:rPr>
                <w:rFonts w:ascii="Times New Roman" w:hAnsi="Times New Roman" w:cs="Times New Roman"/>
                <w:b/>
                <w:bCs/>
                <w:szCs w:val="21"/>
              </w:rPr>
              <w:t>Procalcitonin</w:t>
            </w:r>
          </w:p>
        </w:tc>
        <w:tc>
          <w:tcPr>
            <w:tcW w:w="2835" w:type="dxa"/>
            <w:vAlign w:val="center"/>
          </w:tcPr>
          <w:p w14:paraId="01816BA9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1.265188473208235</w:t>
            </w:r>
          </w:p>
        </w:tc>
        <w:tc>
          <w:tcPr>
            <w:tcW w:w="2410" w:type="dxa"/>
            <w:vAlign w:val="center"/>
          </w:tcPr>
          <w:p w14:paraId="5D0BF17C" w14:textId="58E741AC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 w:hint="eastAsia"/>
                <w:szCs w:val="21"/>
              </w:rPr>
              <w:t>1.090038023812116</w:t>
            </w:r>
          </w:p>
        </w:tc>
        <w:tc>
          <w:tcPr>
            <w:tcW w:w="2410" w:type="dxa"/>
            <w:vAlign w:val="center"/>
          </w:tcPr>
          <w:p w14:paraId="611945CA" w14:textId="55CB6055" w:rsidR="00134D6A" w:rsidRPr="00257ABC" w:rsidRDefault="00134D6A" w:rsidP="00134D6A">
            <w:pPr>
              <w:jc w:val="center"/>
              <w:rPr>
                <w:rFonts w:ascii="Times New Roman" w:hAnsi="Times New Roman" w:cs="Times New Roman" w:hint="eastAsia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Yes</w:t>
            </w:r>
          </w:p>
        </w:tc>
      </w:tr>
      <w:tr w:rsidR="00134D6A" w:rsidRPr="00257ABC" w14:paraId="6947F9F9" w14:textId="21974521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4DE4D47B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Sugar</w:t>
            </w:r>
          </w:p>
        </w:tc>
        <w:tc>
          <w:tcPr>
            <w:tcW w:w="2835" w:type="dxa"/>
            <w:vAlign w:val="center"/>
          </w:tcPr>
          <w:p w14:paraId="5EB84C99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1.11070207375089</w:t>
            </w:r>
          </w:p>
        </w:tc>
        <w:tc>
          <w:tcPr>
            <w:tcW w:w="2410" w:type="dxa"/>
            <w:vAlign w:val="center"/>
          </w:tcPr>
          <w:p w14:paraId="5F5F6238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4343C84C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2EB2217D" w14:textId="1A67E620" w:rsidTr="00134D6A">
        <w:trPr>
          <w:trHeight w:val="423"/>
          <w:jc w:val="center"/>
        </w:trPr>
        <w:tc>
          <w:tcPr>
            <w:tcW w:w="1865" w:type="dxa"/>
            <w:vAlign w:val="center"/>
          </w:tcPr>
          <w:p w14:paraId="094DBA6C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Creatinine</w:t>
            </w:r>
          </w:p>
        </w:tc>
        <w:tc>
          <w:tcPr>
            <w:tcW w:w="2835" w:type="dxa"/>
            <w:vAlign w:val="center"/>
          </w:tcPr>
          <w:p w14:paraId="05F58978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1.236488761835307</w:t>
            </w:r>
          </w:p>
        </w:tc>
        <w:tc>
          <w:tcPr>
            <w:tcW w:w="2410" w:type="dxa"/>
            <w:vAlign w:val="center"/>
          </w:tcPr>
          <w:p w14:paraId="37A777F7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1EF41D4A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07A14FCF" w14:textId="16145430" w:rsidTr="00134D6A">
        <w:trPr>
          <w:trHeight w:val="394"/>
          <w:jc w:val="center"/>
        </w:trPr>
        <w:tc>
          <w:tcPr>
            <w:tcW w:w="1865" w:type="dxa"/>
            <w:vAlign w:val="center"/>
          </w:tcPr>
          <w:p w14:paraId="02BB7B53" w14:textId="1C6588E8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RBC</w:t>
            </w:r>
          </w:p>
        </w:tc>
        <w:tc>
          <w:tcPr>
            <w:tcW w:w="2835" w:type="dxa"/>
            <w:vAlign w:val="center"/>
          </w:tcPr>
          <w:p w14:paraId="6D76DA7E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2.851801313033739</w:t>
            </w:r>
          </w:p>
        </w:tc>
        <w:tc>
          <w:tcPr>
            <w:tcW w:w="2410" w:type="dxa"/>
            <w:vAlign w:val="center"/>
          </w:tcPr>
          <w:p w14:paraId="03A90E96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vAlign w:val="center"/>
          </w:tcPr>
          <w:p w14:paraId="24EE60AC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4D6A" w:rsidRPr="00257ABC" w14:paraId="0F9A8079" w14:textId="67FF78E7" w:rsidTr="00134D6A">
        <w:trPr>
          <w:trHeight w:val="394"/>
          <w:jc w:val="center"/>
        </w:trPr>
        <w:tc>
          <w:tcPr>
            <w:tcW w:w="1865" w:type="dxa"/>
            <w:tcBorders>
              <w:bottom w:val="single" w:sz="4" w:space="0" w:color="auto"/>
            </w:tcBorders>
            <w:vAlign w:val="center"/>
          </w:tcPr>
          <w:p w14:paraId="527F7E55" w14:textId="77777777" w:rsidR="00134D6A" w:rsidRPr="00257ABC" w:rsidRDefault="00134D6A" w:rsidP="00134D6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Hb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001E5D52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257ABC">
              <w:rPr>
                <w:rFonts w:ascii="Times New Roman" w:hAnsi="Times New Roman" w:cs="Times New Roman"/>
                <w:szCs w:val="21"/>
              </w:rPr>
              <w:t>2.783230461137606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27EECF7C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4ECE2EA0" w14:textId="77777777" w:rsidR="00134D6A" w:rsidRPr="00257ABC" w:rsidRDefault="00134D6A" w:rsidP="00134D6A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</w:tbl>
    <w:p w14:paraId="420E56AC" w14:textId="75CA006C" w:rsidR="00134D6A" w:rsidRDefault="00134D6A" w:rsidP="00134D6A">
      <w:pPr>
        <w:spacing w:before="240" w:line="480" w:lineRule="auto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Abbreviations:</w:t>
      </w:r>
      <w:r>
        <w:rPr>
          <w:rFonts w:ascii="Times New Roman" w:hAnsi="Times New Roman" w:cs="Times New Roman"/>
          <w:szCs w:val="21"/>
        </w:rPr>
        <w:t xml:space="preserve"> </w:t>
      </w:r>
      <w:r w:rsidR="00ED343A" w:rsidRPr="00ED343A">
        <w:rPr>
          <w:rFonts w:ascii="Times New Roman" w:hAnsi="Times New Roman" w:cs="Times New Roman" w:hint="eastAsia"/>
          <w:szCs w:val="21"/>
        </w:rPr>
        <w:t>GCS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Glasgow Coma Scale; WFNS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World Federation of Neurosurgical Societies; PNI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Prognostic Nutritional Index; NAR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Neutrophil-to-Albumin Ratio; PAR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Platelet-to-Albumin Ratio; NLPR</w:t>
      </w:r>
      <w:r w:rsidR="00ED343A">
        <w:rPr>
          <w:rFonts w:ascii="Times New Roman" w:hAnsi="Times New Roman" w:cs="Times New Roman" w:hint="eastAsia"/>
          <w:szCs w:val="21"/>
        </w:rPr>
        <w:t xml:space="preserve"> =</w:t>
      </w:r>
      <w:r w:rsidR="00ED343A" w:rsidRPr="00ED343A">
        <w:rPr>
          <w:rFonts w:ascii="Times New Roman" w:hAnsi="Times New Roman" w:cs="Times New Roman" w:hint="eastAsia"/>
          <w:szCs w:val="21"/>
        </w:rPr>
        <w:t xml:space="preserve"> Neutrophil-to-Lymphocyte-to-Platelet Ratio; PLR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Platelet-</w:t>
      </w:r>
      <w:r w:rsidR="00ED343A" w:rsidRPr="00ED343A">
        <w:rPr>
          <w:rFonts w:ascii="Times New Roman" w:hAnsi="Times New Roman" w:cs="Times New Roman" w:hint="eastAsia"/>
          <w:szCs w:val="21"/>
        </w:rPr>
        <w:lastRenderedPageBreak/>
        <w:t>to-Lymphocyte Ratio; MLR</w:t>
      </w:r>
      <w:r w:rsidR="00ED343A">
        <w:rPr>
          <w:rFonts w:ascii="Times New Roman" w:hAnsi="Times New Roman" w:cs="Times New Roman" w:hint="eastAsia"/>
          <w:szCs w:val="21"/>
        </w:rPr>
        <w:t xml:space="preserve"> =</w:t>
      </w:r>
      <w:r w:rsidR="00ED343A" w:rsidRPr="00ED343A">
        <w:rPr>
          <w:rFonts w:ascii="Times New Roman" w:hAnsi="Times New Roman" w:cs="Times New Roman" w:hint="eastAsia"/>
          <w:szCs w:val="21"/>
        </w:rPr>
        <w:t xml:space="preserve"> Monocyte-to-Lymphocyte Ratio; CLR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C-reactive protein-to-Lymphocyte Ratio; SII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Systemic Immune-Inflammation Index; AISI</w:t>
      </w:r>
      <w:r w:rsidR="00ED343A">
        <w:rPr>
          <w:rFonts w:ascii="Times New Roman" w:hAnsi="Times New Roman" w:cs="Times New Roman" w:hint="eastAsia"/>
          <w:szCs w:val="21"/>
        </w:rPr>
        <w:t xml:space="preserve"> = </w:t>
      </w:r>
      <w:r w:rsidR="00ED343A" w:rsidRPr="00ED343A">
        <w:rPr>
          <w:rFonts w:ascii="Times New Roman" w:hAnsi="Times New Roman" w:cs="Times New Roman" w:hint="eastAsia"/>
          <w:szCs w:val="21"/>
        </w:rPr>
        <w:t>Aggregate Index of Systemic Inflammation; SIRI</w:t>
      </w:r>
      <w:r w:rsidR="00ED343A">
        <w:rPr>
          <w:rFonts w:ascii="Times New Roman" w:hAnsi="Times New Roman" w:cs="Times New Roman" w:hint="eastAsia"/>
          <w:szCs w:val="21"/>
        </w:rPr>
        <w:t xml:space="preserve"> =</w:t>
      </w:r>
      <w:r w:rsidR="00ED343A" w:rsidRPr="00ED343A">
        <w:rPr>
          <w:rFonts w:ascii="Times New Roman" w:hAnsi="Times New Roman" w:cs="Times New Roman" w:hint="eastAsia"/>
          <w:szCs w:val="21"/>
        </w:rPr>
        <w:t xml:space="preserve"> Systemic Inflammation Response Index.</w:t>
      </w:r>
    </w:p>
    <w:p w14:paraId="5BE11432" w14:textId="14F921F2" w:rsidR="0043595F" w:rsidRPr="00257ABC" w:rsidRDefault="00134D6A" w:rsidP="00134D6A">
      <w:pPr>
        <w:spacing w:line="480" w:lineRule="auto"/>
        <w:ind w:firstLineChars="200" w:firstLine="420"/>
        <w:rPr>
          <w:rFonts w:ascii="Times New Roman" w:hAnsi="Times New Roman" w:cs="Times New Roman" w:hint="eastAsia"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>Note:</w:t>
      </w:r>
      <w:r>
        <w:rPr>
          <w:rFonts w:ascii="Times New Roman" w:hAnsi="Times New Roman" w:cs="Times New Roman"/>
          <w:szCs w:val="21"/>
        </w:rPr>
        <w:t xml:space="preserve"> </w:t>
      </w:r>
      <w:r w:rsidR="00ED343A" w:rsidRPr="00ED343A">
        <w:rPr>
          <w:rFonts w:ascii="Times New Roman" w:hAnsi="Times New Roman" w:cs="Times New Roman" w:hint="eastAsia"/>
          <w:szCs w:val="21"/>
        </w:rPr>
        <w:t xml:space="preserve">Variance inflation factors (VIFs) were calculated for all candidate variables and for those considered for model inclusion. Only feature variables with VIF &lt; 5 were ultimately selected. </w:t>
      </w:r>
      <w:r w:rsidR="00ED343A" w:rsidRPr="00ED343A">
        <w:rPr>
          <w:rFonts w:ascii="Times New Roman" w:hAnsi="Times New Roman" w:cs="Times New Roman" w:hint="eastAsia"/>
          <w:szCs w:val="21"/>
        </w:rPr>
        <w:t>‘</w:t>
      </w:r>
      <w:r w:rsidR="00ED343A" w:rsidRPr="00ED343A">
        <w:rPr>
          <w:rFonts w:ascii="Times New Roman" w:hAnsi="Times New Roman" w:cs="Times New Roman" w:hint="eastAsia"/>
          <w:szCs w:val="21"/>
        </w:rPr>
        <w:t>Yes</w:t>
      </w:r>
      <w:r w:rsidR="00ED343A" w:rsidRPr="00ED343A">
        <w:rPr>
          <w:rFonts w:ascii="Times New Roman" w:hAnsi="Times New Roman" w:cs="Times New Roman" w:hint="eastAsia"/>
          <w:szCs w:val="21"/>
        </w:rPr>
        <w:t>’</w:t>
      </w:r>
      <w:r w:rsidR="00ED343A" w:rsidRPr="00ED343A">
        <w:rPr>
          <w:rFonts w:ascii="Times New Roman" w:hAnsi="Times New Roman" w:cs="Times New Roman" w:hint="eastAsia"/>
          <w:szCs w:val="21"/>
        </w:rPr>
        <w:t xml:space="preserve"> denotes inclusion in the final model.</w:t>
      </w:r>
    </w:p>
    <w:sectPr w:rsidR="0043595F" w:rsidRPr="00257A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0AAA2" w14:textId="77777777" w:rsidR="00DB6AA3" w:rsidRDefault="00DB6AA3" w:rsidP="00257ABC">
      <w:pPr>
        <w:rPr>
          <w:rFonts w:hint="eastAsia"/>
        </w:rPr>
      </w:pPr>
      <w:r>
        <w:separator/>
      </w:r>
    </w:p>
  </w:endnote>
  <w:endnote w:type="continuationSeparator" w:id="0">
    <w:p w14:paraId="7BD06EDE" w14:textId="77777777" w:rsidR="00DB6AA3" w:rsidRDefault="00DB6AA3" w:rsidP="00257AB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B1264" w14:textId="77777777" w:rsidR="00DB6AA3" w:rsidRDefault="00DB6AA3" w:rsidP="00257ABC">
      <w:pPr>
        <w:rPr>
          <w:rFonts w:hint="eastAsia"/>
        </w:rPr>
      </w:pPr>
      <w:r>
        <w:separator/>
      </w:r>
    </w:p>
  </w:footnote>
  <w:footnote w:type="continuationSeparator" w:id="0">
    <w:p w14:paraId="3EB8D25E" w14:textId="77777777" w:rsidR="00DB6AA3" w:rsidRDefault="00DB6AA3" w:rsidP="00257ABC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66F9"/>
    <w:rsid w:val="00011636"/>
    <w:rsid w:val="00047388"/>
    <w:rsid w:val="00065CB6"/>
    <w:rsid w:val="000C25E5"/>
    <w:rsid w:val="00134D6A"/>
    <w:rsid w:val="001F54B3"/>
    <w:rsid w:val="00257ABC"/>
    <w:rsid w:val="002766F9"/>
    <w:rsid w:val="002F5602"/>
    <w:rsid w:val="0033708F"/>
    <w:rsid w:val="003618FB"/>
    <w:rsid w:val="0043595F"/>
    <w:rsid w:val="00671DA2"/>
    <w:rsid w:val="0068754A"/>
    <w:rsid w:val="00745161"/>
    <w:rsid w:val="008C1330"/>
    <w:rsid w:val="00961909"/>
    <w:rsid w:val="00C576E1"/>
    <w:rsid w:val="00DB6AA3"/>
    <w:rsid w:val="00DE691B"/>
    <w:rsid w:val="00ED343A"/>
    <w:rsid w:val="7D873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BD0C6"/>
  <w15:docId w15:val="{3A05847B-61D0-47AD-AD2D-8E968AFEE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Subtitle"/>
    <w:basedOn w:val="a"/>
    <w:next w:val="a"/>
    <w:link w:val="a8"/>
    <w:uiPriority w:val="11"/>
    <w:qFormat/>
    <w:p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9">
    <w:name w:val="Title"/>
    <w:basedOn w:val="a"/>
    <w:next w:val="a"/>
    <w:link w:val="aa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ab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a">
    <w:name w:val="标题 字符"/>
    <w:basedOn w:val="a0"/>
    <w:link w:val="a9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副标题 字符"/>
    <w:basedOn w:val="a0"/>
    <w:link w:val="a7"/>
    <w:uiPriority w:val="1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c">
    <w:name w:val="Quote"/>
    <w:basedOn w:val="a"/>
    <w:next w:val="a"/>
    <w:link w:val="ad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d">
    <w:name w:val="引用 字符"/>
    <w:basedOn w:val="a0"/>
    <w:link w:val="ac"/>
    <w:uiPriority w:val="29"/>
    <w:rPr>
      <w:i/>
      <w:iCs/>
      <w:color w:val="404040" w:themeColor="text1" w:themeTint="BF"/>
    </w:rPr>
  </w:style>
  <w:style w:type="paragraph" w:styleId="ae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明显引用 字符"/>
    <w:basedOn w:val="a0"/>
    <w:link w:val="af"/>
    <w:uiPriority w:val="30"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299</Words>
  <Characters>1575</Characters>
  <Application>Microsoft Office Word</Application>
  <DocSecurity>0</DocSecurity>
  <Lines>225</Lines>
  <Paragraphs>170</Paragraphs>
  <ScaleCrop>false</ScaleCrop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聪 彭</dc:creator>
  <cp:lastModifiedBy>聪 彭</cp:lastModifiedBy>
  <cp:revision>12</cp:revision>
  <dcterms:created xsi:type="dcterms:W3CDTF">2025-08-26T12:25:00Z</dcterms:created>
  <dcterms:modified xsi:type="dcterms:W3CDTF">2025-08-26T13:14:00Z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eyJoZGlkIjoiOTk5MWRmOWFkZmQwNDIxNmM0YzFjYjE4MmU5ZGU2NTQiLCJ1c2VySWQiOiI1ODA3ODAwMTUifQ==</vt:lpwstr>
  </property>
  <property fmtid="{D5CDD505-2E9C-101B-9397-08002B2CF9AE}" pid="3" name="KSOProductBuildVer">
    <vt:lpwstr>2052-12.1.0.21915</vt:lpwstr>
  </property>
  <property fmtid="{D5CDD505-2E9C-101B-9397-08002B2CF9AE}" pid="4" name="ICV">
    <vt:lpwstr>B2349DAB151D4A6FB705AF81EE1C452B_12</vt:lpwstr>
  </property>
</Properties>
</file>